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B216D" w14:textId="6C0C1F82" w:rsidR="00E414AF" w:rsidRDefault="00E414AF" w:rsidP="00E414AF">
      <w:pPr>
        <w:pStyle w:val="Ttulo1"/>
        <w:numPr>
          <w:ilvl w:val="0"/>
          <w:numId w:val="0"/>
        </w:numPr>
        <w:ind w:left="360" w:hanging="360"/>
        <w:jc w:val="center"/>
      </w:pPr>
      <w:r>
        <w:t xml:space="preserve">ANEXO II - JUSTIFICACIÓN DEL VALOR ESTIMADO Y MODIFICACIONES </w:t>
      </w:r>
    </w:p>
    <w:p w14:paraId="0439A42B" w14:textId="32DCED5B" w:rsidR="00FB10D6" w:rsidRPr="00FB10D6" w:rsidRDefault="00FB10D6" w:rsidP="005A7BD0">
      <w:pPr>
        <w:jc w:val="both"/>
        <w:rPr>
          <w:rFonts w:ascii="Calibri" w:hAnsi="Calibri"/>
          <w:lang w:eastAsia="es-ES"/>
        </w:rPr>
      </w:pPr>
      <w:r w:rsidRPr="00FB10D6">
        <w:rPr>
          <w:rFonts w:ascii="Calibri" w:eastAsia="Calibri" w:hAnsi="Calibri" w:cs="Times New Roman"/>
          <w:kern w:val="0"/>
          <w:lang w:eastAsia="es-ES"/>
          <w14:ligatures w14:val="none"/>
        </w:rPr>
        <w:t xml:space="preserve">Conforme a la normativa de contratación pública se desglosan a continuación los cálculos realizados que justifican el valor estimado establecido para esta licitación, que tendrá una duración inicial de </w:t>
      </w:r>
      <w:r w:rsidR="00551A7E">
        <w:rPr>
          <w:rFonts w:ascii="Calibri" w:eastAsia="Calibri" w:hAnsi="Calibri" w:cs="Times New Roman"/>
          <w:kern w:val="0"/>
          <w:lang w:eastAsia="es-ES"/>
          <w14:ligatures w14:val="none"/>
        </w:rPr>
        <w:t>20</w:t>
      </w:r>
      <w:r w:rsidRPr="00FB10D6">
        <w:rPr>
          <w:rFonts w:ascii="Calibri" w:eastAsia="Calibri" w:hAnsi="Calibri" w:cs="Times New Roman"/>
          <w:kern w:val="0"/>
          <w:lang w:eastAsia="es-ES"/>
          <w14:ligatures w14:val="none"/>
        </w:rPr>
        <w:t xml:space="preserve"> meses</w:t>
      </w:r>
      <w:r w:rsidR="005A7BD0">
        <w:rPr>
          <w:rFonts w:ascii="Calibri" w:eastAsia="Calibri" w:hAnsi="Calibri" w:cs="Times New Roman"/>
          <w:kern w:val="0"/>
          <w:lang w:eastAsia="es-ES"/>
          <w14:ligatures w14:val="none"/>
        </w:rPr>
        <w:t xml:space="preserve">, </w:t>
      </w:r>
      <w:r w:rsidR="005A7BD0">
        <w:rPr>
          <w:rFonts w:ascii="Calibri" w:hAnsi="Calibri"/>
          <w:lang w:eastAsia="es-ES"/>
        </w:rPr>
        <w:t>en la cual no se contemplan posibles prórrogas, así como modificaciones previstas</w:t>
      </w:r>
      <w:r w:rsidR="005A7BD0" w:rsidRPr="00A65462">
        <w:rPr>
          <w:rFonts w:ascii="Calibri" w:hAnsi="Calibri"/>
          <w:lang w:eastAsia="es-ES"/>
        </w:rPr>
        <w:t>.</w:t>
      </w:r>
    </w:p>
    <w:p w14:paraId="325BAC36" w14:textId="1FB96354" w:rsidR="00FB10D6" w:rsidRPr="00FB10D6" w:rsidRDefault="00FB10D6" w:rsidP="00FB10D6">
      <w:pPr>
        <w:spacing w:after="0" w:line="240" w:lineRule="auto"/>
        <w:jc w:val="both"/>
        <w:rPr>
          <w:rFonts w:ascii="Calibri" w:eastAsia="Calibri" w:hAnsi="Calibri" w:cs="Times New Roman"/>
          <w:kern w:val="0"/>
          <w:lang w:eastAsia="es-ES"/>
          <w14:ligatures w14:val="none"/>
        </w:rPr>
      </w:pPr>
      <w:r w:rsidRPr="00FB10D6">
        <w:rPr>
          <w:rFonts w:ascii="Calibri" w:eastAsia="Calibri" w:hAnsi="Calibri" w:cs="Times New Roman"/>
          <w:kern w:val="0"/>
          <w:lang w:eastAsia="es-ES"/>
          <w14:ligatures w14:val="none"/>
        </w:rPr>
        <w:t>El presupuesto de</w:t>
      </w:r>
      <w:r w:rsidR="00764B7F">
        <w:rPr>
          <w:rFonts w:ascii="Calibri" w:eastAsia="Calibri" w:hAnsi="Calibri" w:cs="Times New Roman"/>
          <w:kern w:val="0"/>
          <w:lang w:eastAsia="es-ES"/>
          <w14:ligatures w14:val="none"/>
        </w:rPr>
        <w:t>l</w:t>
      </w:r>
      <w:r w:rsidRPr="00FB10D6">
        <w:rPr>
          <w:rFonts w:ascii="Calibri" w:eastAsia="Calibri" w:hAnsi="Calibri" w:cs="Times New Roman"/>
          <w:kern w:val="0"/>
          <w:lang w:eastAsia="es-ES"/>
          <w14:ligatures w14:val="none"/>
        </w:rPr>
        <w:t xml:space="preserve"> lote se ha obtenido teniendo en cuenta las previsiones de consumos y, en su caso, el contrato precedente, ajustado a las necesidades actuales y previstas en función de los cambios producidos en el transcurso del anterior contrato y adaptando los precios al mercado. </w:t>
      </w:r>
    </w:p>
    <w:p w14:paraId="01EA5C01" w14:textId="77777777" w:rsidR="00FB10D6" w:rsidRPr="00FB10D6" w:rsidRDefault="00FB10D6" w:rsidP="00FB10D6">
      <w:pPr>
        <w:spacing w:after="0" w:line="240" w:lineRule="auto"/>
        <w:jc w:val="both"/>
        <w:rPr>
          <w:rFonts w:ascii="Calibri" w:eastAsia="Calibri" w:hAnsi="Calibri" w:cs="Times New Roman"/>
          <w:kern w:val="0"/>
          <w:lang w:eastAsia="es-ES"/>
          <w14:ligatures w14:val="none"/>
        </w:rPr>
      </w:pPr>
    </w:p>
    <w:p w14:paraId="16D83150" w14:textId="7192416E" w:rsidR="00FB10D6" w:rsidRPr="00FB10D6" w:rsidRDefault="00FB10D6" w:rsidP="00FB10D6">
      <w:pPr>
        <w:spacing w:after="0" w:line="240" w:lineRule="auto"/>
        <w:jc w:val="both"/>
        <w:rPr>
          <w:rFonts w:ascii="Calibri" w:eastAsia="Calibri" w:hAnsi="Calibri" w:cs="Times New Roman"/>
          <w:kern w:val="0"/>
          <w:u w:val="single"/>
          <w:lang w:eastAsia="es-ES"/>
          <w14:ligatures w14:val="none"/>
        </w:rPr>
      </w:pPr>
      <w:r w:rsidRPr="00FB10D6">
        <w:rPr>
          <w:rFonts w:ascii="Calibri" w:eastAsia="Calibri" w:hAnsi="Calibri" w:cs="Times New Roman"/>
          <w:kern w:val="0"/>
          <w:u w:val="single"/>
          <w:lang w:eastAsia="es-ES"/>
          <w14:ligatures w14:val="none"/>
        </w:rPr>
        <w:t>El presupuesto para la duración inicial del contrato que compone el proceso de licitación es el siguiente:</w:t>
      </w:r>
    </w:p>
    <w:p w14:paraId="7EE87E36" w14:textId="77777777" w:rsidR="00FB10D6" w:rsidRPr="00FB10D6" w:rsidRDefault="00FB10D6" w:rsidP="00FB10D6">
      <w:pPr>
        <w:spacing w:after="0" w:line="240" w:lineRule="auto"/>
        <w:jc w:val="both"/>
        <w:rPr>
          <w:rFonts w:ascii="Calibri" w:eastAsia="Calibri" w:hAnsi="Calibri" w:cs="Times New Roman"/>
          <w:kern w:val="0"/>
          <w:lang w:val="es-ES_tradnl" w:eastAsia="es-ES"/>
          <w14:ligatures w14:val="none"/>
        </w:rPr>
      </w:pPr>
    </w:p>
    <w:tbl>
      <w:tblPr>
        <w:tblStyle w:val="Tablaconcuadrcula"/>
        <w:tblW w:w="0" w:type="auto"/>
        <w:tblLook w:val="04A0" w:firstRow="1" w:lastRow="0" w:firstColumn="1" w:lastColumn="0" w:noHBand="0" w:noVBand="1"/>
      </w:tblPr>
      <w:tblGrid>
        <w:gridCol w:w="4355"/>
        <w:gridCol w:w="4139"/>
      </w:tblGrid>
      <w:tr w:rsidR="007C3E0B" w14:paraId="1BD21F55" w14:textId="77777777" w:rsidTr="00A418C5">
        <w:trPr>
          <w:trHeight w:val="818"/>
        </w:trPr>
        <w:tc>
          <w:tcPr>
            <w:tcW w:w="4355" w:type="dxa"/>
            <w:tcBorders>
              <w:bottom w:val="single" w:sz="12" w:space="0" w:color="auto"/>
              <w:right w:val="single" w:sz="12" w:space="0" w:color="auto"/>
            </w:tcBorders>
            <w:shd w:val="clear" w:color="auto" w:fill="C00000"/>
          </w:tcPr>
          <w:p w14:paraId="1A20AF28" w14:textId="77777777" w:rsidR="007C3E0B" w:rsidRDefault="007C3E0B" w:rsidP="00823688">
            <w:pPr>
              <w:tabs>
                <w:tab w:val="left" w:pos="1870"/>
                <w:tab w:val="center" w:pos="2270"/>
              </w:tabs>
              <w:rPr>
                <w:rFonts w:ascii="Calibri" w:hAnsi="Calibri"/>
                <w:b/>
                <w:bCs/>
                <w:color w:val="FFFFFF" w:themeColor="background1"/>
                <w:lang w:eastAsia="es-ES"/>
              </w:rPr>
            </w:pPr>
            <w:r>
              <w:rPr>
                <w:rFonts w:ascii="Calibri" w:hAnsi="Calibri"/>
                <w:b/>
                <w:bCs/>
                <w:color w:val="FFFFFF" w:themeColor="background1"/>
                <w:lang w:eastAsia="es-ES"/>
              </w:rPr>
              <w:tab/>
            </w:r>
          </w:p>
          <w:p w14:paraId="72EC5DCE" w14:textId="77777777" w:rsidR="007C3E0B" w:rsidRPr="00A65462" w:rsidRDefault="007C3E0B" w:rsidP="00823688">
            <w:pPr>
              <w:tabs>
                <w:tab w:val="left" w:pos="1870"/>
                <w:tab w:val="center" w:pos="2270"/>
              </w:tabs>
              <w:rPr>
                <w:rFonts w:ascii="Calibri" w:hAnsi="Calibri"/>
                <w:b/>
                <w:bCs/>
                <w:color w:val="FFFFFF" w:themeColor="background1"/>
                <w:lang w:eastAsia="es-ES"/>
              </w:rPr>
            </w:pPr>
            <w:r>
              <w:rPr>
                <w:rFonts w:ascii="Calibri" w:hAnsi="Calibri"/>
                <w:b/>
                <w:bCs/>
                <w:color w:val="FFFFFF" w:themeColor="background1"/>
                <w:lang w:eastAsia="es-ES"/>
              </w:rPr>
              <w:tab/>
            </w:r>
            <w:r w:rsidRPr="00A65462">
              <w:rPr>
                <w:rFonts w:ascii="Calibri" w:hAnsi="Calibri"/>
                <w:b/>
                <w:bCs/>
                <w:color w:val="FFFFFF" w:themeColor="background1"/>
                <w:sz w:val="28"/>
                <w:szCs w:val="28"/>
                <w:lang w:eastAsia="es-ES"/>
              </w:rPr>
              <w:t xml:space="preserve">LOTE </w:t>
            </w:r>
          </w:p>
        </w:tc>
        <w:tc>
          <w:tcPr>
            <w:tcW w:w="4139" w:type="dxa"/>
            <w:tcBorders>
              <w:left w:val="single" w:sz="12" w:space="0" w:color="auto"/>
              <w:bottom w:val="single" w:sz="12" w:space="0" w:color="auto"/>
            </w:tcBorders>
            <w:shd w:val="clear" w:color="auto" w:fill="C00000"/>
          </w:tcPr>
          <w:p w14:paraId="70D7A497" w14:textId="1E2C0691" w:rsidR="007C3E0B" w:rsidRPr="00A418C5" w:rsidRDefault="007C3E0B" w:rsidP="00A418C5">
            <w:pPr>
              <w:jc w:val="center"/>
              <w:rPr>
                <w:rFonts w:ascii="Calibri" w:hAnsi="Calibri"/>
                <w:b/>
                <w:bCs/>
                <w:sz w:val="28"/>
                <w:szCs w:val="28"/>
                <w:lang w:eastAsia="es-ES"/>
              </w:rPr>
            </w:pPr>
            <w:r w:rsidRPr="00A65462">
              <w:rPr>
                <w:rFonts w:ascii="Calibri" w:hAnsi="Calibri"/>
                <w:b/>
                <w:bCs/>
                <w:sz w:val="28"/>
                <w:szCs w:val="28"/>
                <w:lang w:eastAsia="es-ES"/>
              </w:rPr>
              <w:t>Importe duración inicial (</w:t>
            </w:r>
            <w:r w:rsidR="003327D2">
              <w:rPr>
                <w:rFonts w:ascii="Calibri" w:hAnsi="Calibri"/>
                <w:b/>
                <w:bCs/>
                <w:sz w:val="28"/>
                <w:szCs w:val="28"/>
                <w:lang w:eastAsia="es-ES"/>
              </w:rPr>
              <w:t>20</w:t>
            </w:r>
            <w:r w:rsidRPr="00A65462">
              <w:rPr>
                <w:rFonts w:ascii="Calibri" w:hAnsi="Calibri"/>
                <w:b/>
                <w:bCs/>
                <w:sz w:val="28"/>
                <w:szCs w:val="28"/>
                <w:lang w:eastAsia="es-ES"/>
              </w:rPr>
              <w:t xml:space="preserve"> meses), impuesto/s indirecto/s no incluido/s</w:t>
            </w:r>
          </w:p>
        </w:tc>
      </w:tr>
      <w:tr w:rsidR="007C3E0B" w14:paraId="3BEC8BFB" w14:textId="77777777" w:rsidTr="00A418C5">
        <w:trPr>
          <w:trHeight w:val="540"/>
        </w:trPr>
        <w:tc>
          <w:tcPr>
            <w:tcW w:w="4355" w:type="dxa"/>
            <w:tcBorders>
              <w:top w:val="single" w:sz="12" w:space="0" w:color="auto"/>
              <w:bottom w:val="single" w:sz="12" w:space="0" w:color="auto"/>
            </w:tcBorders>
          </w:tcPr>
          <w:p w14:paraId="6708B7B3" w14:textId="32659388" w:rsidR="007C3E0B" w:rsidRDefault="007C3E0B" w:rsidP="00823688">
            <w:pPr>
              <w:jc w:val="center"/>
              <w:rPr>
                <w:rFonts w:ascii="Calibri" w:hAnsi="Calibri"/>
                <w:lang w:eastAsia="es-ES"/>
              </w:rPr>
            </w:pPr>
            <w:r w:rsidRPr="009973FF">
              <w:rPr>
                <w:rStyle w:val="nfasisintenso"/>
                <w:rFonts w:ascii="Calibri" w:eastAsia="Times New Roman" w:hAnsi="Calibri"/>
                <w:b w:val="0"/>
                <w:bCs w:val="0"/>
                <w:i w:val="0"/>
                <w:color w:val="auto"/>
                <w:lang w:val="es-ES_tradnl" w:eastAsia="es-ES"/>
              </w:rPr>
              <w:t xml:space="preserve">Contratación del Suministro de Gas Natural para FREMAP, Mutua Colaboradora con la Seguridad Social </w:t>
            </w:r>
            <w:proofErr w:type="spellStart"/>
            <w:r w:rsidRPr="009973FF">
              <w:rPr>
                <w:rStyle w:val="nfasisintenso"/>
                <w:rFonts w:ascii="Calibri" w:eastAsia="Times New Roman" w:hAnsi="Calibri"/>
                <w:b w:val="0"/>
                <w:bCs w:val="0"/>
                <w:i w:val="0"/>
                <w:color w:val="auto"/>
                <w:lang w:val="es-ES_tradnl" w:eastAsia="es-ES"/>
              </w:rPr>
              <w:t>nº</w:t>
            </w:r>
            <w:proofErr w:type="spellEnd"/>
            <w:r w:rsidRPr="009973FF">
              <w:rPr>
                <w:rStyle w:val="nfasisintenso"/>
                <w:rFonts w:ascii="Calibri" w:eastAsia="Times New Roman" w:hAnsi="Calibri"/>
                <w:b w:val="0"/>
                <w:bCs w:val="0"/>
                <w:i w:val="0"/>
                <w:color w:val="auto"/>
                <w:lang w:val="es-ES_tradnl" w:eastAsia="es-ES"/>
              </w:rPr>
              <w:t xml:space="preserve"> 61</w:t>
            </w:r>
            <w:r w:rsidRPr="00912A5E">
              <w:rPr>
                <w:rStyle w:val="nfasisintenso"/>
                <w:rFonts w:ascii="Calibri" w:eastAsia="Times New Roman" w:hAnsi="Calibri"/>
                <w:lang w:val="es-ES_tradnl" w:eastAsia="es-ES"/>
              </w:rPr>
              <w:t>.</w:t>
            </w:r>
          </w:p>
        </w:tc>
        <w:tc>
          <w:tcPr>
            <w:tcW w:w="4139" w:type="dxa"/>
            <w:tcBorders>
              <w:top w:val="single" w:sz="12" w:space="0" w:color="auto"/>
              <w:bottom w:val="single" w:sz="12" w:space="0" w:color="auto"/>
            </w:tcBorders>
            <w:vAlign w:val="center"/>
          </w:tcPr>
          <w:p w14:paraId="547C343B" w14:textId="4D7F63A7" w:rsidR="007C3E0B" w:rsidRPr="003327D2" w:rsidRDefault="003327D2" w:rsidP="00823688">
            <w:pPr>
              <w:jc w:val="center"/>
              <w:rPr>
                <w:rFonts w:ascii="Calibri" w:hAnsi="Calibri"/>
                <w:lang w:eastAsia="es-ES"/>
              </w:rPr>
            </w:pPr>
            <w:r w:rsidRPr="003327D2">
              <w:rPr>
                <w:rFonts w:ascii="Calibri" w:hAnsi="Calibri" w:cs="Calibri"/>
                <w:color w:val="000000"/>
              </w:rPr>
              <w:t>385.717,46</w:t>
            </w:r>
            <w:r w:rsidR="007C3E0B" w:rsidRPr="003327D2">
              <w:rPr>
                <w:rFonts w:ascii="Calibri" w:hAnsi="Calibri" w:cs="Calibri"/>
                <w:color w:val="000000"/>
              </w:rPr>
              <w:t xml:space="preserve"> €</w:t>
            </w:r>
          </w:p>
        </w:tc>
      </w:tr>
      <w:tr w:rsidR="007C3E0B" w14:paraId="79D3B921" w14:textId="77777777" w:rsidTr="00A418C5">
        <w:trPr>
          <w:trHeight w:val="540"/>
        </w:trPr>
        <w:tc>
          <w:tcPr>
            <w:tcW w:w="4355" w:type="dxa"/>
            <w:tcBorders>
              <w:top w:val="single" w:sz="12" w:space="0" w:color="auto"/>
            </w:tcBorders>
            <w:vAlign w:val="center"/>
          </w:tcPr>
          <w:p w14:paraId="6263E4F6" w14:textId="77777777" w:rsidR="007C3E0B" w:rsidRPr="004D75C0" w:rsidRDefault="007C3E0B" w:rsidP="00823688">
            <w:pPr>
              <w:jc w:val="center"/>
              <w:rPr>
                <w:rFonts w:ascii="Calibri" w:hAnsi="Calibri"/>
                <w:b/>
                <w:bCs/>
                <w:lang w:val="es-ES_tradnl" w:eastAsia="es-ES"/>
              </w:rPr>
            </w:pPr>
            <w:r w:rsidRPr="004D75C0">
              <w:rPr>
                <w:rFonts w:ascii="Calibri" w:hAnsi="Calibri"/>
                <w:b/>
                <w:bCs/>
                <w:lang w:val="es-ES_tradnl" w:eastAsia="es-ES"/>
              </w:rPr>
              <w:t>TOTAL</w:t>
            </w:r>
          </w:p>
        </w:tc>
        <w:tc>
          <w:tcPr>
            <w:tcW w:w="4139" w:type="dxa"/>
            <w:tcBorders>
              <w:top w:val="single" w:sz="12" w:space="0" w:color="auto"/>
            </w:tcBorders>
            <w:vAlign w:val="center"/>
          </w:tcPr>
          <w:p w14:paraId="2D53904E" w14:textId="06EF4E9A" w:rsidR="007C3E0B" w:rsidRPr="003327D2" w:rsidRDefault="003327D2" w:rsidP="00823688">
            <w:pPr>
              <w:jc w:val="center"/>
              <w:rPr>
                <w:rFonts w:ascii="Calibri" w:hAnsi="Calibri" w:cs="Calibri"/>
                <w:b/>
                <w:bCs/>
                <w:color w:val="000000"/>
              </w:rPr>
            </w:pPr>
            <w:r w:rsidRPr="003327D2">
              <w:rPr>
                <w:rFonts w:ascii="Calibri" w:hAnsi="Calibri" w:cs="Calibri"/>
                <w:b/>
                <w:bCs/>
                <w:color w:val="000000"/>
              </w:rPr>
              <w:t>385.717,46</w:t>
            </w:r>
            <w:r w:rsidR="007C3E0B" w:rsidRPr="003327D2">
              <w:rPr>
                <w:rFonts w:ascii="Calibri" w:hAnsi="Calibri" w:cs="Calibri"/>
                <w:b/>
                <w:bCs/>
                <w:color w:val="000000"/>
              </w:rPr>
              <w:t xml:space="preserve"> €</w:t>
            </w:r>
          </w:p>
        </w:tc>
      </w:tr>
    </w:tbl>
    <w:p w14:paraId="1B9AF262" w14:textId="77777777" w:rsidR="00FB10D6" w:rsidRPr="00FB10D6" w:rsidRDefault="00FB10D6" w:rsidP="00FB10D6">
      <w:pPr>
        <w:spacing w:after="0" w:line="240" w:lineRule="auto"/>
        <w:jc w:val="both"/>
        <w:rPr>
          <w:rFonts w:ascii="Calibri" w:eastAsia="Calibri" w:hAnsi="Calibri" w:cs="Times New Roman"/>
          <w:kern w:val="0"/>
          <w:lang w:eastAsia="es-ES"/>
          <w14:ligatures w14:val="none"/>
        </w:rPr>
      </w:pPr>
    </w:p>
    <w:p w14:paraId="22514FED" w14:textId="77777777" w:rsidR="00FB10D6" w:rsidRPr="00FB10D6" w:rsidRDefault="00FB10D6" w:rsidP="00FB10D6">
      <w:pPr>
        <w:spacing w:after="0" w:line="240" w:lineRule="auto"/>
        <w:jc w:val="both"/>
        <w:rPr>
          <w:rFonts w:ascii="Calibri" w:eastAsia="Calibri" w:hAnsi="Calibri" w:cs="Times New Roman"/>
          <w:kern w:val="0"/>
          <w:u w:val="single"/>
          <w:lang w:eastAsia="es-ES"/>
          <w14:ligatures w14:val="none"/>
        </w:rPr>
      </w:pPr>
      <w:r w:rsidRPr="00FB10D6">
        <w:rPr>
          <w:rFonts w:ascii="Calibri" w:eastAsia="Calibri" w:hAnsi="Calibri" w:cs="Times New Roman"/>
          <w:kern w:val="0"/>
          <w:u w:val="single"/>
          <w:lang w:eastAsia="es-ES"/>
          <w14:ligatures w14:val="none"/>
        </w:rPr>
        <w:t>Para el cálculo del presupuesto base de licitación y de acuerdo con lo dispuesto en el artículo 100 de la LCSP, se han tenido en cuenta lo siguiente:</w:t>
      </w:r>
    </w:p>
    <w:p w14:paraId="378D7581" w14:textId="77777777" w:rsidR="00A418C5" w:rsidRDefault="00A418C5" w:rsidP="00316B66">
      <w:pPr>
        <w:jc w:val="both"/>
        <w:rPr>
          <w:lang w:eastAsia="es-ES"/>
        </w:rPr>
      </w:pPr>
    </w:p>
    <w:p w14:paraId="3EE549BD" w14:textId="2DAF4241" w:rsidR="00E414AF" w:rsidRDefault="00E414AF" w:rsidP="00316B66">
      <w:pPr>
        <w:jc w:val="both"/>
        <w:rPr>
          <w:lang w:eastAsia="es-ES"/>
        </w:rPr>
      </w:pPr>
      <w:r>
        <w:rPr>
          <w:lang w:eastAsia="es-ES"/>
        </w:rPr>
        <w:t>El detalle de las cifras y cálculos realizados, se encuentran en el documento "Anexo de Cálculos estimados" ubicado en la carpeta ANEXOS.ZIP (subcarpeta ANEXOS ADMINISTRATIVOS). Para el cálculo de los precios del mencionado anexo, se han tenido en cuenta los parámetros regulados por el mercado y la situación reciente del mismo.</w:t>
      </w:r>
    </w:p>
    <w:p w14:paraId="5B6779D8" w14:textId="1494761C" w:rsidR="00E414AF" w:rsidRDefault="00E414AF" w:rsidP="00316B66">
      <w:pPr>
        <w:jc w:val="both"/>
        <w:rPr>
          <w:lang w:eastAsia="es-ES"/>
        </w:rPr>
      </w:pPr>
      <w:r>
        <w:rPr>
          <w:lang w:eastAsia="es-ES"/>
        </w:rPr>
        <w:t xml:space="preserve">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esto es sobre el importe de adjudicación. Estas modificaciones previstas corresponden a un </w:t>
      </w:r>
      <w:r w:rsidR="00043335">
        <w:rPr>
          <w:lang w:eastAsia="es-ES"/>
        </w:rPr>
        <w:t>1</w:t>
      </w:r>
      <w:r>
        <w:rPr>
          <w:lang w:eastAsia="es-ES"/>
        </w:rPr>
        <w:t>0%, y se justifican por una modificación en el consumo real con respecto del estimado en función de:</w:t>
      </w:r>
    </w:p>
    <w:p w14:paraId="2BBA467C" w14:textId="77777777" w:rsidR="00E414AF" w:rsidRDefault="00E414AF" w:rsidP="00316B66">
      <w:pPr>
        <w:jc w:val="both"/>
        <w:rPr>
          <w:lang w:eastAsia="es-ES"/>
        </w:rPr>
      </w:pPr>
      <w:r>
        <w:rPr>
          <w:lang w:eastAsia="es-ES"/>
        </w:rPr>
        <w:t>- Si se dan de alta nuevos puntos de suministro por apertura de nuevos centros o modificaciones en las instalaciones de FREMAP.</w:t>
      </w:r>
    </w:p>
    <w:p w14:paraId="242ED5EB" w14:textId="77777777" w:rsidR="00E414AF" w:rsidRDefault="00E414AF" w:rsidP="00316B66">
      <w:pPr>
        <w:jc w:val="both"/>
        <w:rPr>
          <w:lang w:eastAsia="es-ES"/>
        </w:rPr>
      </w:pPr>
      <w:r>
        <w:rPr>
          <w:lang w:eastAsia="es-ES"/>
        </w:rPr>
        <w:t>- Si se dan de baja puntos de suministro por el cierre de centros o modificaciones en las instalaciones de FREMAP.</w:t>
      </w:r>
    </w:p>
    <w:p w14:paraId="047C1A47" w14:textId="1F50944A" w:rsidR="00E414AF" w:rsidRDefault="00E414AF" w:rsidP="00316B66">
      <w:pPr>
        <w:jc w:val="both"/>
        <w:rPr>
          <w:lang w:eastAsia="es-ES"/>
        </w:rPr>
      </w:pPr>
      <w:r>
        <w:rPr>
          <w:lang w:eastAsia="es-ES"/>
        </w:rPr>
        <w:t>- Variaciones de la climatología provocados por Olas de calor/Frio veranos inusualmente calurosos o inviernos severos.</w:t>
      </w:r>
    </w:p>
    <w:p w14:paraId="72E7BBB4" w14:textId="7155A8BB" w:rsidR="00E414AF" w:rsidRDefault="00E414AF" w:rsidP="00316B66">
      <w:pPr>
        <w:jc w:val="both"/>
        <w:rPr>
          <w:lang w:eastAsia="es-ES"/>
        </w:rPr>
      </w:pPr>
      <w:r>
        <w:rPr>
          <w:lang w:eastAsia="es-ES"/>
        </w:rPr>
        <w:t>También por:</w:t>
      </w:r>
    </w:p>
    <w:p w14:paraId="37443C20" w14:textId="7E370391" w:rsidR="00E414AF" w:rsidRDefault="00E414AF" w:rsidP="00316B66">
      <w:pPr>
        <w:jc w:val="both"/>
        <w:rPr>
          <w:lang w:eastAsia="es-ES"/>
        </w:rPr>
      </w:pPr>
      <w:r>
        <w:rPr>
          <w:lang w:eastAsia="es-ES"/>
        </w:rPr>
        <w:lastRenderedPageBreak/>
        <w:t>- El incremento en los componentes del precio regulados por el Estado por cambio en la normativa oficial.</w:t>
      </w:r>
    </w:p>
    <w:p w14:paraId="165525E2" w14:textId="5D09850E" w:rsidR="00E414AF" w:rsidRDefault="00E414AF" w:rsidP="00316B66">
      <w:pPr>
        <w:jc w:val="both"/>
        <w:rPr>
          <w:lang w:eastAsia="es-ES"/>
        </w:rPr>
      </w:pPr>
      <w:r>
        <w:rPr>
          <w:lang w:eastAsia="es-ES"/>
        </w:rPr>
        <w:t>Teniendo en cuenta toda la información recogida en el presente documento y el ANEXO ADMINISTRATIVO mencionado. Los importes resultantes finalmente son:</w:t>
      </w:r>
    </w:p>
    <w:p w14:paraId="5B9AFF81" w14:textId="201ED66B" w:rsidR="00E414AF" w:rsidRPr="00593451" w:rsidRDefault="00E414AF" w:rsidP="00316B66">
      <w:pPr>
        <w:pStyle w:val="Prrafodelista"/>
        <w:numPr>
          <w:ilvl w:val="0"/>
          <w:numId w:val="3"/>
        </w:numPr>
        <w:jc w:val="both"/>
        <w:rPr>
          <w:lang w:eastAsia="es-ES"/>
        </w:rPr>
      </w:pPr>
      <w:r w:rsidRPr="00593451">
        <w:rPr>
          <w:lang w:eastAsia="es-ES"/>
        </w:rPr>
        <w:t xml:space="preserve">Duración inicial: </w:t>
      </w:r>
      <w:r w:rsidR="006C6677" w:rsidRPr="00593451">
        <w:rPr>
          <w:lang w:eastAsia="es-ES"/>
        </w:rPr>
        <w:t>385.717,46</w:t>
      </w:r>
      <w:r w:rsidRPr="00593451">
        <w:rPr>
          <w:lang w:eastAsia="es-ES"/>
        </w:rPr>
        <w:t xml:space="preserve"> euros.</w:t>
      </w:r>
    </w:p>
    <w:p w14:paraId="6448DEBD" w14:textId="77777777" w:rsidR="00E414AF" w:rsidRPr="00593451" w:rsidRDefault="00E414AF" w:rsidP="00316B66">
      <w:pPr>
        <w:pStyle w:val="Prrafodelista"/>
        <w:numPr>
          <w:ilvl w:val="0"/>
          <w:numId w:val="3"/>
        </w:numPr>
        <w:jc w:val="both"/>
        <w:rPr>
          <w:lang w:eastAsia="es-ES"/>
        </w:rPr>
      </w:pPr>
      <w:r w:rsidRPr="00593451">
        <w:rPr>
          <w:lang w:eastAsia="es-ES"/>
        </w:rPr>
        <w:t>Prórrogas: No se contemplan en esta licitación.</w:t>
      </w:r>
    </w:p>
    <w:p w14:paraId="42FB102D" w14:textId="0C6D0CDB" w:rsidR="00E414AF" w:rsidRPr="00593451" w:rsidRDefault="00E414AF" w:rsidP="00316B66">
      <w:pPr>
        <w:pStyle w:val="Prrafodelista"/>
        <w:numPr>
          <w:ilvl w:val="0"/>
          <w:numId w:val="3"/>
        </w:numPr>
        <w:jc w:val="both"/>
        <w:rPr>
          <w:lang w:eastAsia="es-ES"/>
        </w:rPr>
      </w:pPr>
      <w:r w:rsidRPr="00593451">
        <w:rPr>
          <w:lang w:eastAsia="es-ES"/>
        </w:rPr>
        <w:t xml:space="preserve">Modificado previsto: </w:t>
      </w:r>
      <w:r w:rsidR="006C6677" w:rsidRPr="00593451">
        <w:rPr>
          <w:lang w:eastAsia="es-ES"/>
        </w:rPr>
        <w:t>38.571,75</w:t>
      </w:r>
      <w:r w:rsidRPr="00593451">
        <w:rPr>
          <w:lang w:eastAsia="es-ES"/>
        </w:rPr>
        <w:t xml:space="preserve"> euros.</w:t>
      </w:r>
    </w:p>
    <w:p w14:paraId="3DF950DB" w14:textId="6155B21E" w:rsidR="00E414AF" w:rsidRDefault="00E414AF" w:rsidP="00316B66">
      <w:pPr>
        <w:jc w:val="both"/>
        <w:rPr>
          <w:lang w:eastAsia="es-ES"/>
        </w:rPr>
      </w:pPr>
      <w:r w:rsidRPr="00593451">
        <w:rPr>
          <w:lang w:eastAsia="es-ES"/>
        </w:rPr>
        <w:t xml:space="preserve">Resultando finalmente un importe estimado del lote de </w:t>
      </w:r>
      <w:r w:rsidR="001C62F5" w:rsidRPr="00593451">
        <w:rPr>
          <w:lang w:eastAsia="es-ES"/>
        </w:rPr>
        <w:t>424.289</w:t>
      </w:r>
      <w:r w:rsidR="00593451" w:rsidRPr="00593451">
        <w:rPr>
          <w:lang w:eastAsia="es-ES"/>
        </w:rPr>
        <w:t>,21</w:t>
      </w:r>
      <w:r w:rsidRPr="00593451">
        <w:rPr>
          <w:lang w:eastAsia="es-ES"/>
        </w:rPr>
        <w:t xml:space="preserve"> euros.</w:t>
      </w:r>
    </w:p>
    <w:p w14:paraId="72B1490E" w14:textId="209FC25E" w:rsidR="00E414AF" w:rsidRDefault="00E414AF" w:rsidP="00316B66">
      <w:pPr>
        <w:jc w:val="both"/>
        <w:rPr>
          <w:lang w:eastAsia="es-ES"/>
        </w:rPr>
      </w:pPr>
      <w:r>
        <w:rPr>
          <w:lang w:eastAsia="es-ES"/>
        </w:rPr>
        <w:t>*Impuestos indirectos no incluidos.</w:t>
      </w:r>
    </w:p>
    <w:p w14:paraId="5022E662" w14:textId="77777777" w:rsidR="00316B66" w:rsidRDefault="00316B66" w:rsidP="00316B66">
      <w:pPr>
        <w:jc w:val="both"/>
        <w:rPr>
          <w:lang w:eastAsia="es-ES"/>
        </w:rPr>
      </w:pPr>
    </w:p>
    <w:p w14:paraId="53BD3AD1" w14:textId="77777777" w:rsidR="00316B66" w:rsidRPr="00E414AF" w:rsidRDefault="00316B66" w:rsidP="00316B66">
      <w:pPr>
        <w:jc w:val="both"/>
        <w:rPr>
          <w:lang w:eastAsia="es-ES"/>
        </w:rPr>
      </w:pPr>
    </w:p>
    <w:sectPr w:rsidR="00316B66" w:rsidRPr="00E414AF">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23DEE" w14:textId="77777777" w:rsidR="009B1D99" w:rsidRDefault="009B1D99" w:rsidP="00E414AF">
      <w:pPr>
        <w:spacing w:after="0" w:line="240" w:lineRule="auto"/>
      </w:pPr>
      <w:r>
        <w:separator/>
      </w:r>
    </w:p>
  </w:endnote>
  <w:endnote w:type="continuationSeparator" w:id="0">
    <w:p w14:paraId="4299B444" w14:textId="77777777" w:rsidR="009B1D99" w:rsidRDefault="009B1D99" w:rsidP="00E41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A0CD9" w14:textId="1B6CA540" w:rsidR="00551A7E" w:rsidRDefault="00551A7E">
    <w:pPr>
      <w:pStyle w:val="Piedepgina"/>
    </w:pPr>
    <w:r>
      <w:rPr>
        <w:noProof/>
      </w:rPr>
      <mc:AlternateContent>
        <mc:Choice Requires="wps">
          <w:drawing>
            <wp:anchor distT="0" distB="0" distL="0" distR="0" simplePos="0" relativeHeight="251657728" behindDoc="0" locked="0" layoutInCell="1" allowOverlap="1" wp14:anchorId="320C4445" wp14:editId="57D07B22">
              <wp:simplePos x="635" y="635"/>
              <wp:positionH relativeFrom="page">
                <wp:align>left</wp:align>
              </wp:positionH>
              <wp:positionV relativeFrom="page">
                <wp:align>bottom</wp:align>
              </wp:positionV>
              <wp:extent cx="443865" cy="443865"/>
              <wp:effectExtent l="0" t="0" r="635" b="0"/>
              <wp:wrapNone/>
              <wp:docPr id="914521276" name="Cuadro de texto 2"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5D6D59" w14:textId="2038CFC4" w:rsidR="00551A7E" w:rsidRPr="00551A7E" w:rsidRDefault="00551A7E" w:rsidP="00551A7E">
                          <w:pPr>
                            <w:spacing w:after="0"/>
                            <w:rPr>
                              <w:rFonts w:ascii="Calibri" w:eastAsia="Calibri" w:hAnsi="Calibri" w:cs="Calibri"/>
                              <w:noProof/>
                              <w:color w:val="008000"/>
                              <w:sz w:val="30"/>
                              <w:szCs w:val="30"/>
                            </w:rPr>
                          </w:pPr>
                          <w:r w:rsidRPr="00551A7E">
                            <w:rPr>
                              <w:rFonts w:ascii="Calibri" w:eastAsia="Calibri" w:hAnsi="Calibri"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0C4445" id="_x0000_t202" coordsize="21600,21600" o:spt="202" path="m,l,21600r21600,l21600,xe">
              <v:stroke joinstyle="miter"/>
              <v:path gradientshapeok="t" o:connecttype="rect"/>
            </v:shapetype>
            <v:shape id="Cuadro de texto 2" o:spid="_x0000_s1026" type="#_x0000_t202" alt="PUBLICO" style="position:absolute;margin-left:0;margin-top:0;width:34.95pt;height:34.9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95D6D59" w14:textId="2038CFC4" w:rsidR="00551A7E" w:rsidRPr="00551A7E" w:rsidRDefault="00551A7E" w:rsidP="00551A7E">
                    <w:pPr>
                      <w:spacing w:after="0"/>
                      <w:rPr>
                        <w:rFonts w:ascii="Calibri" w:eastAsia="Calibri" w:hAnsi="Calibri" w:cs="Calibri"/>
                        <w:noProof/>
                        <w:color w:val="008000"/>
                        <w:sz w:val="30"/>
                        <w:szCs w:val="30"/>
                      </w:rPr>
                    </w:pPr>
                    <w:r w:rsidRPr="00551A7E">
                      <w:rPr>
                        <w:rFonts w:ascii="Calibri" w:eastAsia="Calibri" w:hAnsi="Calibri" w:cs="Calibri"/>
                        <w:noProof/>
                        <w:color w:val="008000"/>
                        <w:sz w:val="30"/>
                        <w:szCs w:val="30"/>
                      </w:rPr>
                      <w:t>PUBLICO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5E2F" w14:textId="3FB9674E" w:rsidR="00551A7E" w:rsidRDefault="00551A7E">
    <w:pPr>
      <w:pStyle w:val="Piedepgina"/>
    </w:pPr>
    <w:r>
      <w:rPr>
        <w:noProof/>
      </w:rPr>
      <mc:AlternateContent>
        <mc:Choice Requires="wps">
          <w:drawing>
            <wp:anchor distT="0" distB="0" distL="0" distR="0" simplePos="0" relativeHeight="251658752" behindDoc="0" locked="0" layoutInCell="1" allowOverlap="1" wp14:anchorId="46BCF912" wp14:editId="7103BCB0">
              <wp:simplePos x="635" y="635"/>
              <wp:positionH relativeFrom="page">
                <wp:align>left</wp:align>
              </wp:positionH>
              <wp:positionV relativeFrom="page">
                <wp:align>bottom</wp:align>
              </wp:positionV>
              <wp:extent cx="443865" cy="443865"/>
              <wp:effectExtent l="0" t="0" r="635" b="0"/>
              <wp:wrapNone/>
              <wp:docPr id="1127891858" name="Cuadro de texto 3"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007806" w14:textId="340952A0" w:rsidR="00551A7E" w:rsidRPr="00551A7E" w:rsidRDefault="00551A7E" w:rsidP="00551A7E">
                          <w:pPr>
                            <w:spacing w:after="0"/>
                            <w:rPr>
                              <w:rFonts w:ascii="Calibri" w:eastAsia="Calibri" w:hAnsi="Calibri" w:cs="Calibri"/>
                              <w:noProof/>
                              <w:color w:val="008000"/>
                              <w:sz w:val="30"/>
                              <w:szCs w:val="30"/>
                            </w:rPr>
                          </w:pPr>
                          <w:r w:rsidRPr="00551A7E">
                            <w:rPr>
                              <w:rFonts w:ascii="Calibri" w:eastAsia="Calibri" w:hAnsi="Calibri"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BCF912" id="_x0000_t202" coordsize="21600,21600" o:spt="202" path="m,l,21600r21600,l21600,xe">
              <v:stroke joinstyle="miter"/>
              <v:path gradientshapeok="t" o:connecttype="rect"/>
            </v:shapetype>
            <v:shape id="Cuadro de texto 3" o:spid="_x0000_s1027" type="#_x0000_t202" alt="PUBLICO" style="position:absolute;margin-left:0;margin-top:0;width:34.95pt;height:34.9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3007806" w14:textId="340952A0" w:rsidR="00551A7E" w:rsidRPr="00551A7E" w:rsidRDefault="00551A7E" w:rsidP="00551A7E">
                    <w:pPr>
                      <w:spacing w:after="0"/>
                      <w:rPr>
                        <w:rFonts w:ascii="Calibri" w:eastAsia="Calibri" w:hAnsi="Calibri" w:cs="Calibri"/>
                        <w:noProof/>
                        <w:color w:val="008000"/>
                        <w:sz w:val="30"/>
                        <w:szCs w:val="30"/>
                      </w:rPr>
                    </w:pPr>
                    <w:r w:rsidRPr="00551A7E">
                      <w:rPr>
                        <w:rFonts w:ascii="Calibri" w:eastAsia="Calibri" w:hAnsi="Calibri" w:cs="Calibri"/>
                        <w:noProof/>
                        <w:color w:val="008000"/>
                        <w:sz w:val="30"/>
                        <w:szCs w:val="30"/>
                      </w:rPr>
                      <w:t>PUBLICO</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9ADB" w14:textId="4583A609" w:rsidR="00551A7E" w:rsidRDefault="00551A7E">
    <w:pPr>
      <w:pStyle w:val="Piedepgina"/>
    </w:pPr>
    <w:r>
      <w:rPr>
        <w:noProof/>
      </w:rPr>
      <mc:AlternateContent>
        <mc:Choice Requires="wps">
          <w:drawing>
            <wp:anchor distT="0" distB="0" distL="0" distR="0" simplePos="0" relativeHeight="251656704" behindDoc="0" locked="0" layoutInCell="1" allowOverlap="1" wp14:anchorId="66856E60" wp14:editId="0E9CBE25">
              <wp:simplePos x="635" y="635"/>
              <wp:positionH relativeFrom="page">
                <wp:align>left</wp:align>
              </wp:positionH>
              <wp:positionV relativeFrom="page">
                <wp:align>bottom</wp:align>
              </wp:positionV>
              <wp:extent cx="443865" cy="443865"/>
              <wp:effectExtent l="0" t="0" r="635" b="0"/>
              <wp:wrapNone/>
              <wp:docPr id="484650083" name="Cuadro de texto 1" descr="PU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A54AE3" w14:textId="5736D68E" w:rsidR="00551A7E" w:rsidRPr="00551A7E" w:rsidRDefault="00551A7E" w:rsidP="00551A7E">
                          <w:pPr>
                            <w:spacing w:after="0"/>
                            <w:rPr>
                              <w:rFonts w:ascii="Calibri" w:eastAsia="Calibri" w:hAnsi="Calibri" w:cs="Calibri"/>
                              <w:noProof/>
                              <w:color w:val="008000"/>
                              <w:sz w:val="30"/>
                              <w:szCs w:val="30"/>
                            </w:rPr>
                          </w:pPr>
                          <w:r w:rsidRPr="00551A7E">
                            <w:rPr>
                              <w:rFonts w:ascii="Calibri" w:eastAsia="Calibri" w:hAnsi="Calibri" w:cs="Calibri"/>
                              <w:noProof/>
                              <w:color w:val="008000"/>
                              <w:sz w:val="30"/>
                              <w:szCs w:val="30"/>
                            </w:rPr>
                            <w:t>PUBLICO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856E60" id="_x0000_t202" coordsize="21600,21600" o:spt="202" path="m,l,21600r21600,l21600,xe">
              <v:stroke joinstyle="miter"/>
              <v:path gradientshapeok="t" o:connecttype="rect"/>
            </v:shapetype>
            <v:shape id="Cuadro de texto 1" o:spid="_x0000_s1028" type="#_x0000_t202" alt="PUBLICO" style="position:absolute;margin-left:0;margin-top:0;width:34.95pt;height:34.9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3A54AE3" w14:textId="5736D68E" w:rsidR="00551A7E" w:rsidRPr="00551A7E" w:rsidRDefault="00551A7E" w:rsidP="00551A7E">
                    <w:pPr>
                      <w:spacing w:after="0"/>
                      <w:rPr>
                        <w:rFonts w:ascii="Calibri" w:eastAsia="Calibri" w:hAnsi="Calibri" w:cs="Calibri"/>
                        <w:noProof/>
                        <w:color w:val="008000"/>
                        <w:sz w:val="30"/>
                        <w:szCs w:val="30"/>
                      </w:rPr>
                    </w:pPr>
                    <w:r w:rsidRPr="00551A7E">
                      <w:rPr>
                        <w:rFonts w:ascii="Calibri" w:eastAsia="Calibri" w:hAnsi="Calibri" w:cs="Calibri"/>
                        <w:noProof/>
                        <w:color w:val="008000"/>
                        <w:sz w:val="30"/>
                        <w:szCs w:val="30"/>
                      </w:rPr>
                      <w:t>PUBLICO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A989E" w14:textId="77777777" w:rsidR="009B1D99" w:rsidRDefault="009B1D99" w:rsidP="00E414AF">
      <w:pPr>
        <w:spacing w:after="0" w:line="240" w:lineRule="auto"/>
      </w:pPr>
      <w:r>
        <w:separator/>
      </w:r>
    </w:p>
  </w:footnote>
  <w:footnote w:type="continuationSeparator" w:id="0">
    <w:p w14:paraId="7AB4AFE8" w14:textId="77777777" w:rsidR="009B1D99" w:rsidRDefault="009B1D99" w:rsidP="00E41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E44B7" w14:textId="5319E8B5" w:rsidR="00E414AF" w:rsidRPr="00C0415E" w:rsidRDefault="00E414AF" w:rsidP="00E414AF">
    <w:pPr>
      <w:pStyle w:val="Encabezado"/>
      <w:rPr>
        <w:rFonts w:ascii="Calibri" w:hAnsi="Calibri" w:cs="Calibri"/>
        <w:bCs/>
        <w:i/>
        <w:sz w:val="16"/>
        <w:szCs w:val="12"/>
      </w:rPr>
    </w:pPr>
    <w:r w:rsidRPr="00B275C3">
      <w:rPr>
        <w:rFonts w:ascii="Calibri" w:hAnsi="Calibri" w:cs="Calibri"/>
        <w:i/>
        <w:noProof/>
        <w:sz w:val="24"/>
      </w:rPr>
      <w:drawing>
        <wp:anchor distT="0" distB="0" distL="114300" distR="114300" simplePos="0" relativeHeight="251655680" behindDoc="0" locked="0" layoutInCell="1" allowOverlap="1" wp14:anchorId="6173578E" wp14:editId="0B4BF08E">
          <wp:simplePos x="0" y="0"/>
          <wp:positionH relativeFrom="column">
            <wp:posOffset>-755015</wp:posOffset>
          </wp:positionH>
          <wp:positionV relativeFrom="paragraph">
            <wp:posOffset>130810</wp:posOffset>
          </wp:positionV>
          <wp:extent cx="552450" cy="361950"/>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pic:spPr>
              </pic:pic>
            </a:graphicData>
          </a:graphic>
          <wp14:sizeRelH relativeFrom="page">
            <wp14:pctWidth>0</wp14:pctWidth>
          </wp14:sizeRelH>
          <wp14:sizeRelV relativeFrom="page">
            <wp14:pctHeight>0</wp14:pctHeight>
          </wp14:sizeRelV>
        </wp:anchor>
      </w:drawing>
    </w:r>
    <w:r w:rsidR="00000000">
      <w:rPr>
        <w:noProof/>
      </w:rPr>
      <w:pict w14:anchorId="194AB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7" o:spid="_x0000_s1025" type="#_x0000_t75" style="position:absolute;margin-left:0;margin-top:0;width:481.65pt;height:364.6pt;z-index:-251656704;mso-position-horizontal:center;mso-position-horizontal-relative:margin;mso-position-vertical:center;mso-position-vertical-relative:margin" o:allowincell="f">
          <v:imagedata r:id="rId2" o:title="MARCA DE AGUA"/>
          <w10:wrap anchorx="margin" anchory="margin"/>
        </v:shape>
      </w:pict>
    </w:r>
  </w:p>
  <w:p w14:paraId="234DCBA4" w14:textId="2DBC400F" w:rsidR="00E414AF" w:rsidRDefault="00EA3D88" w:rsidP="00E414AF">
    <w:pPr>
      <w:pStyle w:val="Encabezado"/>
      <w:ind w:left="1843"/>
      <w:jc w:val="center"/>
      <w:rPr>
        <w:rFonts w:ascii="Calibri" w:hAnsi="Calibri" w:cs="Calibri"/>
        <w:bCs/>
        <w:i/>
        <w:sz w:val="16"/>
        <w:szCs w:val="16"/>
      </w:rPr>
    </w:pPr>
    <w:r w:rsidRPr="00EA3D88">
      <w:rPr>
        <w:rFonts w:ascii="Calibri" w:hAnsi="Calibri" w:cs="Calibri"/>
        <w:bCs/>
        <w:i/>
        <w:sz w:val="16"/>
        <w:szCs w:val="16"/>
      </w:rPr>
      <w:t>LICT/99/024/2024/0104</w:t>
    </w:r>
    <w:r w:rsidR="00E414AF">
      <w:rPr>
        <w:rFonts w:ascii="Calibri" w:hAnsi="Calibri" w:cs="Calibri"/>
        <w:b/>
        <w:i/>
        <w:sz w:val="16"/>
        <w:szCs w:val="16"/>
      </w:rPr>
      <w:t xml:space="preserve"> </w:t>
    </w:r>
    <w:r w:rsidR="00E414AF" w:rsidRPr="00C0415E">
      <w:rPr>
        <w:rFonts w:ascii="Calibri" w:hAnsi="Calibri" w:cs="Calibri"/>
        <w:bCs/>
        <w:i/>
        <w:sz w:val="16"/>
        <w:szCs w:val="16"/>
      </w:rPr>
      <w:t xml:space="preserve">- </w:t>
    </w:r>
    <w:r w:rsidR="00A418C5" w:rsidRPr="00A418C5">
      <w:rPr>
        <w:rFonts w:ascii="Calibri" w:hAnsi="Calibri" w:cs="Calibri"/>
        <w:bCs/>
        <w:i/>
        <w:sz w:val="16"/>
        <w:szCs w:val="16"/>
      </w:rPr>
      <w:t xml:space="preserve">Contratación del Suministro de Gas Natural para FREMAP, Mutua Colaboradora con la Seguridad Social </w:t>
    </w:r>
    <w:proofErr w:type="spellStart"/>
    <w:r w:rsidR="00A418C5" w:rsidRPr="00A418C5">
      <w:rPr>
        <w:rFonts w:ascii="Calibri" w:hAnsi="Calibri" w:cs="Calibri"/>
        <w:bCs/>
        <w:i/>
        <w:sz w:val="16"/>
        <w:szCs w:val="16"/>
      </w:rPr>
      <w:t>nº</w:t>
    </w:r>
    <w:proofErr w:type="spellEnd"/>
    <w:r w:rsidR="00A418C5" w:rsidRPr="00A418C5">
      <w:rPr>
        <w:rFonts w:ascii="Calibri" w:hAnsi="Calibri" w:cs="Calibri"/>
        <w:bCs/>
        <w:i/>
        <w:sz w:val="16"/>
        <w:szCs w:val="16"/>
      </w:rPr>
      <w:t xml:space="preserve"> 61.</w:t>
    </w:r>
  </w:p>
  <w:p w14:paraId="28BEE6BA" w14:textId="797BEE9F" w:rsidR="00E414AF" w:rsidRDefault="00E414AF" w:rsidP="00E414AF">
    <w:pPr>
      <w:pStyle w:val="Encabezado"/>
      <w:ind w:left="184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A1D13"/>
    <w:multiLevelType w:val="hybridMultilevel"/>
    <w:tmpl w:val="2FCAB47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BDF1637"/>
    <w:multiLevelType w:val="hybridMultilevel"/>
    <w:tmpl w:val="B98238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3BB74EB"/>
    <w:multiLevelType w:val="multilevel"/>
    <w:tmpl w:val="5DCE0A30"/>
    <w:lvl w:ilvl="0">
      <w:start w:val="1"/>
      <w:numFmt w:val="decimal"/>
      <w:pStyle w:val="Ttulo1"/>
      <w:lvlText w:val="%1."/>
      <w:lvlJc w:val="left"/>
      <w:pPr>
        <w:ind w:left="360" w:hanging="360"/>
      </w:pPr>
      <w:rPr>
        <w:rFonts w:ascii="Calibri" w:hAnsi="Calibri" w:hint="default"/>
        <w:b/>
        <w:i w:val="0"/>
        <w:color w:val="auto"/>
        <w:sz w:val="28"/>
        <w:szCs w:val="28"/>
      </w:rPr>
    </w:lvl>
    <w:lvl w:ilvl="1">
      <w:start w:val="1"/>
      <w:numFmt w:val="decimal"/>
      <w:pStyle w:val="Ttulo2"/>
      <w:isLgl/>
      <w:lvlText w:val="%1.%2"/>
      <w:lvlJc w:val="left"/>
      <w:pPr>
        <w:ind w:left="1418" w:hanging="567"/>
      </w:pPr>
      <w:rPr>
        <w:rFonts w:ascii="Calibri" w:hAnsi="Calibri" w:hint="default"/>
        <w:b/>
        <w:i w:val="0"/>
        <w:color w:val="auto"/>
        <w:sz w:val="24"/>
      </w:rPr>
    </w:lvl>
    <w:lvl w:ilvl="2">
      <w:start w:val="1"/>
      <w:numFmt w:val="decimal"/>
      <w:isLgl/>
      <w:lvlText w:val="%1.%2.%3"/>
      <w:lvlJc w:val="left"/>
      <w:pPr>
        <w:ind w:left="2126" w:hanging="708"/>
      </w:pPr>
      <w:rPr>
        <w:rFonts w:ascii="Calibri" w:hAnsi="Calibri" w:hint="default"/>
        <w:b/>
        <w:i w:val="0"/>
        <w:color w:val="auto"/>
        <w:sz w:val="22"/>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num w:numId="1" w16cid:durableId="1542741986">
    <w:abstractNumId w:val="2"/>
  </w:num>
  <w:num w:numId="2" w16cid:durableId="1797135978">
    <w:abstractNumId w:val="0"/>
  </w:num>
  <w:num w:numId="3" w16cid:durableId="1161695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4AF"/>
    <w:rsid w:val="00043335"/>
    <w:rsid w:val="001C62F5"/>
    <w:rsid w:val="00316B66"/>
    <w:rsid w:val="003327D2"/>
    <w:rsid w:val="00551A7E"/>
    <w:rsid w:val="00556FF2"/>
    <w:rsid w:val="00593451"/>
    <w:rsid w:val="005A7BD0"/>
    <w:rsid w:val="00655283"/>
    <w:rsid w:val="006C6677"/>
    <w:rsid w:val="00764B7F"/>
    <w:rsid w:val="007C3E0B"/>
    <w:rsid w:val="007F67B8"/>
    <w:rsid w:val="008F58ED"/>
    <w:rsid w:val="00994535"/>
    <w:rsid w:val="009B1D99"/>
    <w:rsid w:val="00A22861"/>
    <w:rsid w:val="00A418C5"/>
    <w:rsid w:val="00B60FF7"/>
    <w:rsid w:val="00CE3E60"/>
    <w:rsid w:val="00CE4207"/>
    <w:rsid w:val="00D50354"/>
    <w:rsid w:val="00E414AF"/>
    <w:rsid w:val="00EA3D88"/>
    <w:rsid w:val="00F048A1"/>
    <w:rsid w:val="00FB10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D6401"/>
  <w15:chartTrackingRefBased/>
  <w15:docId w15:val="{1E15608E-2979-4316-9555-53D033F60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66"/>
  </w:style>
  <w:style w:type="paragraph" w:styleId="Ttulo1">
    <w:name w:val="heading 1"/>
    <w:basedOn w:val="Normal"/>
    <w:next w:val="Normal"/>
    <w:link w:val="Ttulo1Car"/>
    <w:uiPriority w:val="9"/>
    <w:qFormat/>
    <w:rsid w:val="00E414AF"/>
    <w:pPr>
      <w:keepNext/>
      <w:widowControl w:val="0"/>
      <w:numPr>
        <w:numId w:val="1"/>
      </w:numPr>
      <w:pBdr>
        <w:bottom w:val="single" w:sz="12" w:space="1" w:color="C00000"/>
      </w:pBdr>
      <w:spacing w:before="240" w:after="240" w:line="240" w:lineRule="auto"/>
      <w:jc w:val="both"/>
      <w:textboxTightWrap w:val="allLines"/>
      <w:outlineLvl w:val="0"/>
    </w:pPr>
    <w:rPr>
      <w:rFonts w:ascii="Calibri" w:eastAsia="Calibri" w:hAnsi="Calibri" w:cs="Calibri"/>
      <w:b/>
      <w:color w:val="000000"/>
      <w:kern w:val="32"/>
      <w:sz w:val="28"/>
      <w:szCs w:val="28"/>
      <w:lang w:eastAsia="es-ES"/>
      <w14:ligatures w14:val="none"/>
    </w:rPr>
  </w:style>
  <w:style w:type="paragraph" w:styleId="Ttulo2">
    <w:name w:val="heading 2"/>
    <w:basedOn w:val="Normal"/>
    <w:next w:val="Normal"/>
    <w:link w:val="Ttulo2Car"/>
    <w:qFormat/>
    <w:rsid w:val="00E414AF"/>
    <w:pPr>
      <w:numPr>
        <w:ilvl w:val="1"/>
        <w:numId w:val="1"/>
      </w:numPr>
      <w:pBdr>
        <w:between w:val="single" w:sz="6" w:space="1" w:color="auto"/>
      </w:pBdr>
      <w:overflowPunct w:val="0"/>
      <w:autoSpaceDE w:val="0"/>
      <w:autoSpaceDN w:val="0"/>
      <w:adjustRightInd w:val="0"/>
      <w:spacing w:line="240" w:lineRule="auto"/>
      <w:jc w:val="both"/>
      <w:textAlignment w:val="baseline"/>
      <w:outlineLvl w:val="1"/>
    </w:pPr>
    <w:rPr>
      <w:rFonts w:ascii="Calibri" w:eastAsia="Calibri" w:hAnsi="Calibri" w:cs="Arial"/>
      <w:b/>
      <w:kern w:val="0"/>
      <w:sz w:val="24"/>
      <w:szCs w:val="24"/>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414A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414AF"/>
  </w:style>
  <w:style w:type="paragraph" w:styleId="Piedepgina">
    <w:name w:val="footer"/>
    <w:basedOn w:val="Normal"/>
    <w:link w:val="PiedepginaCar"/>
    <w:uiPriority w:val="99"/>
    <w:unhideWhenUsed/>
    <w:rsid w:val="00E414A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414AF"/>
  </w:style>
  <w:style w:type="character" w:customStyle="1" w:styleId="Ttulo1Car">
    <w:name w:val="Título 1 Car"/>
    <w:basedOn w:val="Fuentedeprrafopredeter"/>
    <w:link w:val="Ttulo1"/>
    <w:uiPriority w:val="9"/>
    <w:rsid w:val="00E414AF"/>
    <w:rPr>
      <w:rFonts w:ascii="Calibri" w:eastAsia="Calibri" w:hAnsi="Calibri" w:cs="Calibri"/>
      <w:b/>
      <w:color w:val="000000"/>
      <w:kern w:val="32"/>
      <w:sz w:val="28"/>
      <w:szCs w:val="28"/>
      <w:lang w:eastAsia="es-ES"/>
      <w14:ligatures w14:val="none"/>
    </w:rPr>
  </w:style>
  <w:style w:type="character" w:customStyle="1" w:styleId="Ttulo2Car">
    <w:name w:val="Título 2 Car"/>
    <w:basedOn w:val="Fuentedeprrafopredeter"/>
    <w:link w:val="Ttulo2"/>
    <w:rsid w:val="00E414AF"/>
    <w:rPr>
      <w:rFonts w:ascii="Calibri" w:eastAsia="Calibri" w:hAnsi="Calibri" w:cs="Arial"/>
      <w:b/>
      <w:kern w:val="0"/>
      <w:sz w:val="24"/>
      <w:szCs w:val="24"/>
      <w:lang w:val="es-ES_tradnl" w:eastAsia="es-ES"/>
      <w14:ligatures w14:val="none"/>
    </w:rPr>
  </w:style>
  <w:style w:type="paragraph" w:styleId="Prrafodelista">
    <w:name w:val="List Paragraph"/>
    <w:basedOn w:val="Normal"/>
    <w:uiPriority w:val="34"/>
    <w:qFormat/>
    <w:rsid w:val="00E414AF"/>
    <w:pPr>
      <w:ind w:left="720"/>
      <w:contextualSpacing/>
    </w:pPr>
  </w:style>
  <w:style w:type="paragraph" w:styleId="Subttulo">
    <w:name w:val="Subtitle"/>
    <w:basedOn w:val="Normal"/>
    <w:next w:val="Normal"/>
    <w:link w:val="SubttuloCar"/>
    <w:uiPriority w:val="11"/>
    <w:qFormat/>
    <w:rsid w:val="00E414AF"/>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E414AF"/>
    <w:rPr>
      <w:rFonts w:eastAsiaTheme="minorEastAsia"/>
      <w:color w:val="5A5A5A" w:themeColor="text1" w:themeTint="A5"/>
      <w:spacing w:val="15"/>
    </w:rPr>
  </w:style>
  <w:style w:type="table" w:styleId="Tablaconcuadrcula">
    <w:name w:val="Table Grid"/>
    <w:basedOn w:val="Tablanormal"/>
    <w:uiPriority w:val="39"/>
    <w:rsid w:val="00FB1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uiPriority w:val="21"/>
    <w:qFormat/>
    <w:rsid w:val="007C3E0B"/>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440</Words>
  <Characters>2426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21</cp:revision>
  <dcterms:created xsi:type="dcterms:W3CDTF">2024-06-14T08:36:00Z</dcterms:created>
  <dcterms:modified xsi:type="dcterms:W3CDTF">2024-11-08T08:56:00Z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1ce32c63,36827cbc,433a4392</vt:lpwstr>
  </property>
  <property fmtid="{D5CDD505-2E9C-101B-9397-08002B2CF9AE}" pid="3" name="ClassificationContentMarkingFooterFontProps">
    <vt:lpwstr>#008000,15,Calibri</vt:lpwstr>
  </property>
  <property fmtid="{D5CDD505-2E9C-101B-9397-08002B2CF9AE}" pid="4" name="ClassificationContentMarkingFooterText">
    <vt:lpwstr>PUBLICO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2024-11-06T08:28:00Z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c40c0682-672d-4864-8008-ea3f4e2c035b</vt:lpwstr>
  </property>
  <property fmtid="{D5CDD505-2E9C-101B-9397-08002B2CF9AE}" pid="11" name="MSIP_Label_2c0a8209-6590-4cef-adb7-80fa47675d6e_ContentBits">
    <vt:lpwstr>2</vt:lpwstr>
  </property>
</Properties>
</file>